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REGULAMIN PRACY KOMISJI KONKURSOWEJ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ds. opiniowania ofert na powierzenie wykonywania zadań publicznych wraz z udzieleniem dotacji na fin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ansowanie jego realizacji w 2023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I. Zasady pracy Komisji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1"/>
          <w:numId w:val="3"/>
        </w:numPr>
        <w:tabs>
          <w:tab w:val="left" w:pos="748"/>
        </w:tabs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 xml:space="preserve">Wójt Gminy Sułów zgodnie z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art. 15 ust. 2a ustawy z dnia 24 kwietnia 2003 r. o działalności pożytku publicznego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o wolontariacie (Dz. U. z 2022 r. poz. 1327 ze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zm.) </w:t>
      </w: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powołuje Komisję Konkursową w celu opiniowania złożonych ofert przez podmioty uprawnione.</w:t>
      </w:r>
    </w:p>
    <w:p w:rsidR="00F16EF1" w:rsidRPr="00674BDA" w:rsidRDefault="00F16EF1" w:rsidP="00F16EF1">
      <w:pPr>
        <w:widowControl w:val="0"/>
        <w:numPr>
          <w:ilvl w:val="1"/>
          <w:numId w:val="3"/>
        </w:numPr>
        <w:tabs>
          <w:tab w:val="left" w:pos="748"/>
        </w:tabs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Komisja Konkursowa powołana dalej, jako „Komisja” jest zespołem o charakterze doradczo-opiniującym.</w:t>
      </w:r>
    </w:p>
    <w:p w:rsidR="00F16EF1" w:rsidRPr="00674BDA" w:rsidRDefault="00F16EF1" w:rsidP="00F16EF1">
      <w:pPr>
        <w:widowControl w:val="0"/>
        <w:numPr>
          <w:ilvl w:val="1"/>
          <w:numId w:val="3"/>
        </w:numPr>
        <w:tabs>
          <w:tab w:val="left" w:pos="748"/>
        </w:tabs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W pracach Komisji nie mogą brać udziału osoby, związane z podmiotami wnioskującymi o dotację, tj. takie, które uzyskują w nich przychody, są członkami, wolontariuszami, członkami władz podmiotów ubiegających się o dotacje oraz członkami władz związków stowarzyszeń, do których należą podmioty ubiegające się o dotację.</w:t>
      </w:r>
    </w:p>
    <w:p w:rsidR="00F16EF1" w:rsidRPr="00674BDA" w:rsidRDefault="00F16EF1" w:rsidP="00F16EF1">
      <w:pPr>
        <w:widowControl w:val="0"/>
        <w:numPr>
          <w:ilvl w:val="1"/>
          <w:numId w:val="3"/>
        </w:numPr>
        <w:tabs>
          <w:tab w:val="left" w:pos="748"/>
        </w:tabs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Każdy członek Komisji, przed rozpoczęciem działalności Komisji, jest zobowiązany do złożenia pisemnego oświadczenia, którego treść stanowi Załącznik Nr 1 do niniejszego regulaminu.</w:t>
      </w:r>
    </w:p>
    <w:p w:rsidR="00F16EF1" w:rsidRPr="00674BDA" w:rsidRDefault="00F16EF1" w:rsidP="00F16EF1">
      <w:pPr>
        <w:widowControl w:val="0"/>
        <w:numPr>
          <w:ilvl w:val="1"/>
          <w:numId w:val="3"/>
        </w:numPr>
        <w:tabs>
          <w:tab w:val="left" w:pos="748"/>
        </w:tabs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Członek Komisji, który nie spełnia warunków określonych w oświadczeniu zostaje wykluczony ze składu Komisji.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71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71"/>
        <w:jc w:val="center"/>
        <w:textAlignment w:val="baseline"/>
        <w:rPr>
          <w:rFonts w:ascii="TimesNewRoman" w:eastAsia="SimSun" w:hAnsi="TimesNewRoman" w:cs="TimesNewRoman" w:hint="eastAsia"/>
          <w:b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b/>
          <w:kern w:val="3"/>
          <w:sz w:val="24"/>
          <w:szCs w:val="24"/>
          <w:lang w:eastAsia="zh-CN" w:bidi="hi-IN"/>
        </w:rPr>
        <w:t>II. Przebieg prac Komisji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7"/>
        </w:numPr>
        <w:tabs>
          <w:tab w:val="left" w:pos="748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Komisja zbiera się na posiedzeniu inicjowanym przez Przewodniczącego Komisji.</w:t>
      </w:r>
    </w:p>
    <w:p w:rsidR="00F16EF1" w:rsidRPr="00674BDA" w:rsidRDefault="00F16EF1" w:rsidP="00F16EF1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Każdy z członków informowany jest o terminie spotkania telefonicznie bądź listownie.</w:t>
      </w:r>
    </w:p>
    <w:p w:rsidR="00F16EF1" w:rsidRPr="00674BDA" w:rsidRDefault="00F16EF1" w:rsidP="00F16EF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Prace Komisji odbywają się na posiedzeniach zamkniętych, w których uczestniczy,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co najmniej 50 % członków, w tym przewodniczący.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Zgodnie z art. 15 ust. 2da  ustawy o dział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alności pożytku publicznego i o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wolontariacie Komisja konkursowa może działać bez udziału osób wskazanych przez organizacje pozarządowe lub podmioty wymienione w art. 3 ust. 3, jeżeli: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żadna organizacja nie wskaże osób do składu komisji konkursowej lub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wskazane osoby nie wezmą udziału w pracach komisji konkursowej, lub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wszystkie powołane w skład komisji konkursowej osoby podlegają wyłączeniu na podstawie art. 15 ust. 2d lub art. 15 ust. 2f.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 xml:space="preserve">W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pracach Komisji mogą brać udział osoby zaproszone przez Komisje - z głosem doradczym.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Posiedzenie Komisji prowadzone jest przez Przewodniczącego.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  <w:r w:rsidRPr="00674BDA">
        <w:rPr>
          <w:rFonts w:ascii="TimesNewRoman" w:eastAsia="SimSun" w:hAnsi="TimesNewRoman" w:cs="TimesNewRoman"/>
          <w:kern w:val="3"/>
          <w:sz w:val="24"/>
          <w:szCs w:val="24"/>
          <w:lang w:eastAsia="zh-CN" w:bidi="hi-IN"/>
        </w:rPr>
        <w:t>Spotkania Komisji są protokołowane przez członka Komisji będącego przedstawicielem organu wykonawczego jednostki, której konkurs dotyczy.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Komisja rozpoczyna pracę od otwarcia ofert po ustaleniu, że:</w:t>
      </w:r>
    </w:p>
    <w:p w:rsidR="00F16EF1" w:rsidRPr="00674BDA" w:rsidRDefault="00F16EF1" w:rsidP="00F16EF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ogłoszenie o składaniu ofert zostało we właściwym czasie i w należyty sposób podane do publicznej wiadomości, tzn.: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-w Biuletynie Informacji Publicznej Gminy Sułów pod adresem: </w:t>
      </w:r>
      <w:hyperlink r:id="rId6" w:history="1">
        <w:r w:rsidRPr="00674BDA">
          <w:rPr>
            <w:rFonts w:ascii="Times New Roman" w:eastAsia="SimSun" w:hAnsi="Times New Roman" w:cs="Mangal"/>
            <w:color w:val="00000A"/>
            <w:kern w:val="3"/>
            <w:sz w:val="24"/>
            <w:szCs w:val="24"/>
            <w:lang w:eastAsia="zh-CN" w:bidi="hi-IN"/>
          </w:rPr>
          <w:t>www.bip.sulow.pl</w:t>
        </w:r>
      </w:hyperlink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 na stronie internetowej Gminy Sułów pod adresem: </w:t>
      </w:r>
      <w:hyperlink r:id="rId7" w:history="1">
        <w:r w:rsidRPr="00674BDA">
          <w:rPr>
            <w:rFonts w:ascii="Times New Roman" w:eastAsia="SimSun" w:hAnsi="Times New Roman" w:cs="Mangal"/>
            <w:color w:val="00000A"/>
            <w:kern w:val="3"/>
            <w:sz w:val="24"/>
            <w:szCs w:val="24"/>
            <w:lang w:eastAsia="zh-CN" w:bidi="hi-IN"/>
          </w:rPr>
          <w:t>www.sulow.pl</w:t>
        </w:r>
      </w:hyperlink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 na tablicy ogłoszeń w Urzędzie Gminy Sułów,</w:t>
      </w:r>
    </w:p>
    <w:p w:rsidR="00F16EF1" w:rsidRPr="00674BDA" w:rsidRDefault="00F16EF1" w:rsidP="00F16EF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upłynął termin nadsyłania ofert.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 ustaleniu spełnienia wymagań określonych w pkt 6 niniejszego regulaminu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Komisja przystępuje do następujących czynności:</w:t>
      </w:r>
    </w:p>
    <w:p w:rsidR="00F16EF1" w:rsidRPr="00674BDA" w:rsidRDefault="00F16EF1" w:rsidP="00F16EF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a)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odczytanie ogłoszenia i warunków wyboru ofert,</w:t>
      </w:r>
    </w:p>
    <w:p w:rsidR="00F16EF1" w:rsidRPr="00F27FE8" w:rsidRDefault="00F16EF1" w:rsidP="00F16EF1">
      <w:pPr>
        <w:pStyle w:val="Akapitzlist"/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b)</w:t>
      </w:r>
      <w:r w:rsidRPr="00F27F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otwarcie ofert i sprawdzenie ich pod względem spełniania wymogów formalnych,</w:t>
      </w:r>
    </w:p>
    <w:p w:rsidR="00F16EF1" w:rsidRPr="00F27FE8" w:rsidRDefault="00F16EF1" w:rsidP="00F16EF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c)</w:t>
      </w:r>
      <w:r w:rsidRPr="00F27F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odczytanie poszczególnych ofert dopuszczonych do dalszego postępowania,</w:t>
      </w:r>
    </w:p>
    <w:p w:rsidR="00F16EF1" w:rsidRPr="00F27FE8" w:rsidRDefault="00F16EF1" w:rsidP="00F16EF1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d)</w:t>
      </w:r>
      <w:r w:rsidRPr="00F27FE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dokonanie oceny poszczególnych ofert zgodnie z art. 15 ust. 1 ustawy o działalności pożytku publicznego i o wolontariacie,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748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e)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przedłożenie Wójtowi wyników pracy Komisji.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Ocena formalna polega na sprawdzeniu zgodności oferty z wymogami określonymi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ogłoszeniu konkursowym.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przypadku stwierdzenia przez Komisję błędów formalnych, Komisja informuje oferentów o możliwości ich uzupełnienia i poprawienia w terminie siedmiu dni roboczych od daty pisemnego (pocztą tradycyjną lub elektroniczną)lub telefonicznego powiadomienia, a w przypadku konieczności uzupełnienia o dokument wymagający poświadczenia lub decyzji innego organu w terminie do 30 dni od daty powiadomienia.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oceny merytorycznej dopuszcza się wyłącznie oferty spełniające wymogi formalne.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 ocenie ofert Komisja bierze pod uwagę kryteria określone w art. 15 ust. 1 ustawy o działalności pożytku publicznego i o wolontariacie.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Komisja dokonuje oceny punktowej ofert w skali od 0 do 5 pkt przyznawanych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poszczególnych kryteriach.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Ocena dokonywana jest przy pomocy indywidualnych kart oceny, ostemplowanych pieczęcią Urząd Gminy Sułów, zawierających zestawienie ofert. Wzór indywidualnej karty oceny stanowi Załącznik Nr 2 do niniejszego regulaminu.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Ostatecznej oceny ofert Komisja dokonuje na podstawie wyliczenia średniej z sumy punktów przyznanych przez poszczególnych członków Komisji.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prac Komisji sporządzany jest protokół, który podpisują wszyscy członkowie Komisji dokonujący oceny. Dokumentację konkursową przechowuje się w Urzędzie Gminy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Sułowie.</w:t>
      </w:r>
    </w:p>
    <w:p w:rsidR="00F16EF1" w:rsidRPr="00674BDA" w:rsidRDefault="00F16EF1" w:rsidP="00F16EF1">
      <w:pPr>
        <w:widowControl w:val="0"/>
        <w:numPr>
          <w:ilvl w:val="0"/>
          <w:numId w:val="4"/>
        </w:numPr>
        <w:tabs>
          <w:tab w:val="left" w:pos="748"/>
        </w:tabs>
        <w:suppressAutoHyphens/>
        <w:autoSpaceDN w:val="0"/>
        <w:spacing w:after="0" w:line="240" w:lineRule="auto"/>
        <w:ind w:left="374" w:hanging="37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Wójt Gminy Sułów podejmuje ostateczną decyzję w sprawie wyboru ofert i wysokości dotacji 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oparciu o przedłożone przez Komisje oceny i propozycje kwot dotacji.</w:t>
      </w:r>
    </w:p>
    <w:p w:rsidR="00F16EF1" w:rsidRPr="00674BDA" w:rsidRDefault="00F16EF1" w:rsidP="00F16EF1">
      <w:pPr>
        <w:widowControl w:val="0"/>
        <w:tabs>
          <w:tab w:val="left" w:pos="374"/>
        </w:tabs>
        <w:suppressAutoHyphens/>
        <w:autoSpaceDN w:val="0"/>
        <w:spacing w:after="0" w:line="240" w:lineRule="auto"/>
        <w:ind w:left="187"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171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NewRoman" w:eastAsia="SimSun" w:hAnsi="TimesNewRoman" w:cs="TimesNewRoman" w:hint="eastAsia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Załącznik Nr 1 do Regulaminu Pracy Komisji Konkursowej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Ś W I A D C Z E N I E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członka Komisji Konkursowej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Imię (imiona)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……………………………………………………..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Nazwisko ………………………………………………………….</w:t>
      </w: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Uprzedzony o odpowiedzialności karnej za fałszywe zeznania oświadczam, że: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 ubiegam się o udzielenie dotacji na realizację zadania publicznego;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 pozostaję w związku małżeńskim w stosunku pokrewieństwa lub powinowactwa w linii prostej, pokrewieństwa lub powinowactwa w linii bocznej do drugiego stopnia oraz nie jestem związany z tytułu przysposobienia, opieki lub kurateli z podmiotem, jego zastępcą prawnym lub członkami organów zarządzających lub organów nadzorczych podmiotów ubiegających się o udzielenie dotacji na realizację zadania;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przed upływem 3 lat od dnia wszczęcia postępowania o udzielenie dotacji nie pozostawałem w stosunku pracy lub zlecenia z podmiotem i nie byłem członkiem organów zarządzających lub organów nadzorczych podmiotów ubiegających się o udzielenie dotacji;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 pozostaję z żadnym podmiotem w takim stosunku prawnym lub faktycznym, że może to budzić uzasadnione wątpliwości co do mojej bezstronności;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 zostałem prawomocnie skazany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Sułów, dnia  ……………………</w:t>
      </w: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6EF1" w:rsidRPr="00674BDA" w:rsidRDefault="00F16EF1" w:rsidP="00F16EF1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</w:t>
      </w:r>
    </w:p>
    <w:p w:rsidR="00F16EF1" w:rsidRDefault="00F16EF1" w:rsidP="00F16EF1">
      <w:r w:rsidRPr="00674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(podpis)</w:t>
      </w:r>
      <w:r w:rsidRPr="00674BDA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              </w:t>
      </w:r>
    </w:p>
    <w:p w:rsidR="00717459" w:rsidRDefault="00717459"/>
    <w:sectPr w:rsidR="0071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C5"/>
    <w:multiLevelType w:val="multilevel"/>
    <w:tmpl w:val="41B4E2A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FA1C07"/>
    <w:multiLevelType w:val="multilevel"/>
    <w:tmpl w:val="E6CA534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A806C8"/>
    <w:multiLevelType w:val="multilevel"/>
    <w:tmpl w:val="51160AD8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  <w:rPr>
        <w:rFonts w:ascii="Times New Roman" w:eastAsia="SimSun" w:hAnsi="Times New Roman" w:cs="Mang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599783E"/>
    <w:multiLevelType w:val="multilevel"/>
    <w:tmpl w:val="771618E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DB302A6"/>
    <w:multiLevelType w:val="multilevel"/>
    <w:tmpl w:val="1ED0589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142" w:firstLine="0"/>
      </w:pPr>
      <w:rPr>
        <w:rFonts w:ascii="Times New Roman" w:eastAsia="SimSun" w:hAnsi="Times New Roman" w:cs="Mangal"/>
      </w:r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SimSun" w:hAnsi="Times New Roman" w:cs="Manga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1"/>
    <w:rsid w:val="00717459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F16EF1"/>
    <w:pPr>
      <w:numPr>
        <w:numId w:val="1"/>
      </w:numPr>
    </w:pPr>
  </w:style>
  <w:style w:type="numbering" w:customStyle="1" w:styleId="WWNum11">
    <w:name w:val="WWNum11"/>
    <w:basedOn w:val="Bezlisty"/>
    <w:rsid w:val="00F16EF1"/>
    <w:pPr>
      <w:numPr>
        <w:numId w:val="3"/>
      </w:numPr>
    </w:pPr>
  </w:style>
  <w:style w:type="numbering" w:customStyle="1" w:styleId="WWNum5">
    <w:name w:val="WWNum5"/>
    <w:basedOn w:val="Bezlisty"/>
    <w:rsid w:val="00F16EF1"/>
    <w:pPr>
      <w:numPr>
        <w:numId w:val="4"/>
      </w:numPr>
    </w:pPr>
  </w:style>
  <w:style w:type="numbering" w:customStyle="1" w:styleId="WWNum4">
    <w:name w:val="WWNum4"/>
    <w:basedOn w:val="Bezlisty"/>
    <w:rsid w:val="00F16EF1"/>
    <w:pPr>
      <w:numPr>
        <w:numId w:val="5"/>
      </w:numPr>
    </w:pPr>
  </w:style>
  <w:style w:type="numbering" w:customStyle="1" w:styleId="WWNum3">
    <w:name w:val="WWNum3"/>
    <w:basedOn w:val="Bezlisty"/>
    <w:rsid w:val="00F16EF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F1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F16EF1"/>
    <w:pPr>
      <w:numPr>
        <w:numId w:val="1"/>
      </w:numPr>
    </w:pPr>
  </w:style>
  <w:style w:type="numbering" w:customStyle="1" w:styleId="WWNum11">
    <w:name w:val="WWNum11"/>
    <w:basedOn w:val="Bezlisty"/>
    <w:rsid w:val="00F16EF1"/>
    <w:pPr>
      <w:numPr>
        <w:numId w:val="3"/>
      </w:numPr>
    </w:pPr>
  </w:style>
  <w:style w:type="numbering" w:customStyle="1" w:styleId="WWNum5">
    <w:name w:val="WWNum5"/>
    <w:basedOn w:val="Bezlisty"/>
    <w:rsid w:val="00F16EF1"/>
    <w:pPr>
      <w:numPr>
        <w:numId w:val="4"/>
      </w:numPr>
    </w:pPr>
  </w:style>
  <w:style w:type="numbering" w:customStyle="1" w:styleId="WWNum4">
    <w:name w:val="WWNum4"/>
    <w:basedOn w:val="Bezlisty"/>
    <w:rsid w:val="00F16EF1"/>
    <w:pPr>
      <w:numPr>
        <w:numId w:val="5"/>
      </w:numPr>
    </w:pPr>
  </w:style>
  <w:style w:type="numbering" w:customStyle="1" w:styleId="WWNum3">
    <w:name w:val="WWNum3"/>
    <w:basedOn w:val="Bezlisty"/>
    <w:rsid w:val="00F16EF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F1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Pańczyk</dc:creator>
  <cp:lastModifiedBy>Lidia Pańczyk</cp:lastModifiedBy>
  <cp:revision>1</cp:revision>
  <dcterms:created xsi:type="dcterms:W3CDTF">2023-01-30T11:53:00Z</dcterms:created>
  <dcterms:modified xsi:type="dcterms:W3CDTF">2023-01-30T11:54:00Z</dcterms:modified>
</cp:coreProperties>
</file>